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C1" w:rsidRPr="00DA37C1" w:rsidRDefault="00DA37C1" w:rsidP="00DA37C1">
      <w:pPr>
        <w:shd w:val="clear" w:color="auto" w:fill="FFFFFF"/>
        <w:spacing w:after="240" w:line="240" w:lineRule="auto"/>
        <w:jc w:val="center"/>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2980B9"/>
          <w:sz w:val="27"/>
          <w:szCs w:val="27"/>
          <w:lang w:eastAsia="pl-PL"/>
        </w:rPr>
        <w:t>DEKLARACJA DOSTĘPNOŚCI</w:t>
      </w:r>
    </w:p>
    <w:p w:rsidR="00DA37C1" w:rsidRPr="00DA37C1" w:rsidRDefault="00DA37C1" w:rsidP="00DA37C1">
      <w:pPr>
        <w:shd w:val="clear" w:color="auto" w:fill="FFFFFF"/>
        <w:spacing w:after="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 xml:space="preserve">Publiczna Poradnia </w:t>
      </w:r>
      <w:proofErr w:type="spellStart"/>
      <w:r w:rsidRPr="00DA37C1">
        <w:rPr>
          <w:rFonts w:ascii="Times New Roman" w:eastAsia="Times New Roman" w:hAnsi="Times New Roman" w:cs="Times New Roman"/>
          <w:color w:val="000000"/>
          <w:sz w:val="24"/>
          <w:szCs w:val="24"/>
          <w:lang w:eastAsia="pl-PL"/>
        </w:rPr>
        <w:t>Psychologiczno</w:t>
      </w:r>
      <w:proofErr w:type="spellEnd"/>
      <w:r w:rsidRPr="00DA37C1">
        <w:rPr>
          <w:rFonts w:ascii="Times New Roman" w:eastAsia="Times New Roman" w:hAnsi="Times New Roman" w:cs="Times New Roman"/>
          <w:color w:val="000000"/>
          <w:sz w:val="24"/>
          <w:szCs w:val="24"/>
          <w:lang w:eastAsia="pl-PL"/>
        </w:rPr>
        <w:t xml:space="preserve"> – Pedagogiczna w Kędzierzynie-Koźlu zobowiązuje się zapewnić dostępność swojej strony internetowej zgodnie z ustawą z dnia 4 kwietnia 2019 r. o</w:t>
      </w:r>
      <w:r w:rsidR="00EA56B2">
        <w:rPr>
          <w:rFonts w:ascii="Times New Roman" w:eastAsia="Times New Roman" w:hAnsi="Times New Roman" w:cs="Times New Roman"/>
          <w:color w:val="000000"/>
          <w:sz w:val="24"/>
          <w:szCs w:val="24"/>
          <w:lang w:eastAsia="pl-PL"/>
        </w:rPr>
        <w:t> </w:t>
      </w:r>
      <w:r w:rsidRPr="00DA37C1">
        <w:rPr>
          <w:rFonts w:ascii="Times New Roman" w:eastAsia="Times New Roman" w:hAnsi="Times New Roman" w:cs="Times New Roman"/>
          <w:color w:val="000000"/>
          <w:sz w:val="24"/>
          <w:szCs w:val="24"/>
          <w:lang w:eastAsia="pl-PL"/>
        </w:rPr>
        <w:t>dostępności cyfrowej stron internetowych i aplikacji mobilnych podmiotów publicznych. Oświadczenie w sprawie dostępności ma zastosowanie do strony internetowej </w:t>
      </w:r>
      <w:hyperlink r:id="rId5" w:history="1">
        <w:r w:rsidRPr="00DA37C1">
          <w:rPr>
            <w:rStyle w:val="Hipercze"/>
            <w:rFonts w:ascii="Times New Roman" w:eastAsia="Times New Roman" w:hAnsi="Times New Roman" w:cs="Times New Roman"/>
            <w:sz w:val="24"/>
            <w:szCs w:val="24"/>
            <w:lang w:eastAsia="pl-PL"/>
          </w:rPr>
          <w:t>http://www.poradniakk.pl/</w:t>
        </w:r>
      </w:hyperlink>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Data publikacji strony internetowej: [ 2015-09-01 ]. Data ostatniej istotnej aktualizacji: [ 2020-10-08 ].</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DA37C1">
        <w:rPr>
          <w:rFonts w:ascii="Times New Roman" w:eastAsia="Times New Roman" w:hAnsi="Times New Roman" w:cs="Times New Roman"/>
          <w:color w:val="000000"/>
          <w:sz w:val="24"/>
          <w:szCs w:val="24"/>
          <w:lang w:eastAsia="pl-PL"/>
        </w:rPr>
        <w:t>wyłączeń</w:t>
      </w:r>
      <w:proofErr w:type="spellEnd"/>
      <w:r w:rsidRPr="00DA37C1">
        <w:rPr>
          <w:rFonts w:ascii="Times New Roman" w:eastAsia="Times New Roman" w:hAnsi="Times New Roman" w:cs="Times New Roman"/>
          <w:color w:val="000000"/>
          <w:sz w:val="24"/>
          <w:szCs w:val="24"/>
          <w:lang w:eastAsia="pl-PL"/>
        </w:rPr>
        <w:t xml:space="preserve"> wymienionych poniżej:</w:t>
      </w:r>
    </w:p>
    <w:p w:rsidR="00DA37C1" w:rsidRPr="00DA37C1" w:rsidRDefault="00DA37C1" w:rsidP="00DA37C1">
      <w:pPr>
        <w:numPr>
          <w:ilvl w:val="0"/>
          <w:numId w:val="1"/>
        </w:numPr>
        <w:shd w:val="clear" w:color="auto" w:fill="FFFFFF"/>
        <w:spacing w:after="0" w:line="240" w:lineRule="auto"/>
        <w:ind w:left="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filmy nie posiadają napisów dla osób głuchych,</w:t>
      </w:r>
    </w:p>
    <w:p w:rsidR="00DA37C1" w:rsidRPr="00DA37C1" w:rsidRDefault="00DA37C1" w:rsidP="00DA37C1">
      <w:pPr>
        <w:numPr>
          <w:ilvl w:val="0"/>
          <w:numId w:val="1"/>
        </w:numPr>
        <w:shd w:val="clear" w:color="auto" w:fill="FFFFFF"/>
        <w:spacing w:after="0" w:line="240" w:lineRule="auto"/>
        <w:ind w:left="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część plików nie jest dostępnych cyfrowo,</w:t>
      </w:r>
    </w:p>
    <w:p w:rsidR="00EA56B2" w:rsidRPr="00EA56B2" w:rsidRDefault="00DA37C1" w:rsidP="00DA37C1">
      <w:pPr>
        <w:numPr>
          <w:ilvl w:val="0"/>
          <w:numId w:val="1"/>
        </w:numPr>
        <w:shd w:val="clear" w:color="auto" w:fill="FFFFFF"/>
        <w:spacing w:after="0" w:line="240" w:lineRule="auto"/>
        <w:ind w:left="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brak odpowiedniej struktury nagłówkowej artykułów</w:t>
      </w:r>
    </w:p>
    <w:p w:rsidR="00DA37C1" w:rsidRPr="00DA37C1" w:rsidRDefault="00DA37C1" w:rsidP="00EA56B2">
      <w:pPr>
        <w:shd w:val="clear" w:color="auto" w:fill="FFFFFF"/>
        <w:spacing w:after="0" w:line="240" w:lineRule="auto"/>
        <w:jc w:val="both"/>
        <w:rPr>
          <w:rFonts w:ascii="Times New Roman" w:eastAsia="Times New Roman" w:hAnsi="Times New Roman" w:cs="Times New Roman"/>
          <w:color w:val="625D5D"/>
          <w:sz w:val="20"/>
          <w:szCs w:val="20"/>
          <w:lang w:eastAsia="pl-PL"/>
        </w:rPr>
      </w:pPr>
      <w:bookmarkStart w:id="0" w:name="_GoBack"/>
      <w:bookmarkEnd w:id="0"/>
      <w:r w:rsidRPr="00DA37C1">
        <w:rPr>
          <w:rFonts w:ascii="Times New Roman" w:eastAsia="Times New Roman" w:hAnsi="Times New Roman" w:cs="Times New Roman"/>
          <w:color w:val="625D5D"/>
          <w:sz w:val="20"/>
          <w:szCs w:val="20"/>
          <w:lang w:eastAsia="pl-PL"/>
        </w:rPr>
        <w:t> </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Wyłączenia:</w:t>
      </w:r>
    </w:p>
    <w:p w:rsidR="00DA37C1" w:rsidRPr="00DA37C1" w:rsidRDefault="00DA37C1" w:rsidP="00DA37C1">
      <w:pPr>
        <w:numPr>
          <w:ilvl w:val="0"/>
          <w:numId w:val="2"/>
        </w:numPr>
        <w:shd w:val="clear" w:color="auto" w:fill="FFFFFF"/>
        <w:spacing w:after="0" w:line="240" w:lineRule="auto"/>
        <w:ind w:left="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mapy są wyłączone z obowiązku zapewniania dostępności,</w:t>
      </w:r>
    </w:p>
    <w:p w:rsidR="00DA37C1" w:rsidRPr="00DA37C1" w:rsidRDefault="00DA37C1" w:rsidP="00DA37C1">
      <w:pPr>
        <w:numPr>
          <w:ilvl w:val="0"/>
          <w:numId w:val="2"/>
        </w:numPr>
        <w:shd w:val="clear" w:color="auto" w:fill="FFFFFF"/>
        <w:spacing w:after="0" w:line="240" w:lineRule="auto"/>
        <w:ind w:left="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filmy zostały opublikowane przed wejściem w życie ustawy o dostępności cyfrowej</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Oświadczenie sporządzono dnia: [ 2020-09-23 ]. Deklarację sporządzono na podstawie samooceny przeprowadzonej przez podmiot publiczny.</w:t>
      </w:r>
    </w:p>
    <w:p w:rsidR="00DA37C1" w:rsidRPr="00DA37C1" w:rsidRDefault="00DA37C1" w:rsidP="00DA37C1">
      <w:pPr>
        <w:shd w:val="clear" w:color="auto" w:fill="FFFFFF"/>
        <w:spacing w:after="120" w:line="240" w:lineRule="auto"/>
        <w:jc w:val="both"/>
        <w:outlineLvl w:val="2"/>
        <w:rPr>
          <w:rFonts w:ascii="Times New Roman" w:eastAsia="Times New Roman" w:hAnsi="Times New Roman" w:cs="Times New Roman"/>
          <w:b/>
          <w:bCs/>
          <w:caps/>
          <w:color w:val="333333"/>
          <w:sz w:val="26"/>
          <w:szCs w:val="26"/>
          <w:lang w:eastAsia="pl-PL"/>
        </w:rPr>
      </w:pPr>
      <w:r w:rsidRPr="00DA37C1">
        <w:rPr>
          <w:rFonts w:ascii="Times New Roman" w:eastAsia="Times New Roman" w:hAnsi="Times New Roman" w:cs="Times New Roman"/>
          <w:b/>
          <w:bCs/>
          <w:color w:val="3498DB"/>
          <w:sz w:val="27"/>
          <w:szCs w:val="27"/>
          <w:lang w:eastAsia="pl-PL"/>
        </w:rPr>
        <w:t>Informacje zwrotne i dane kontaktowe</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 xml:space="preserve">W przypadku problemów z dostępnością strony internetowej prosimy o kontakt. Osobą kontaktową jest J. </w:t>
      </w:r>
      <w:proofErr w:type="spellStart"/>
      <w:r w:rsidRPr="00DA37C1">
        <w:rPr>
          <w:rFonts w:ascii="Times New Roman" w:eastAsia="Times New Roman" w:hAnsi="Times New Roman" w:cs="Times New Roman"/>
          <w:color w:val="000000"/>
          <w:sz w:val="24"/>
          <w:szCs w:val="24"/>
          <w:lang w:eastAsia="pl-PL"/>
        </w:rPr>
        <w:t>Lubieciecka</w:t>
      </w:r>
      <w:proofErr w:type="spellEnd"/>
      <w:r w:rsidRPr="00DA37C1">
        <w:rPr>
          <w:rFonts w:ascii="Times New Roman" w:eastAsia="Times New Roman" w:hAnsi="Times New Roman" w:cs="Times New Roman"/>
          <w:color w:val="000000"/>
          <w:sz w:val="24"/>
          <w:szCs w:val="24"/>
          <w:lang w:eastAsia="pl-PL"/>
        </w:rPr>
        <w:t>, email: jlubieniecka@poradniakk.pl. Kontaktować można się także dzwoniąc na numer telefonu 77 482-12-26. Tą samą drogą można składać wnioski o udostępnienie informacji niedostępnej oraz składać żądania zapewnienia dostępności.</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A37C1">
        <w:rPr>
          <w:rFonts w:ascii="Times New Roman" w:eastAsia="Times New Roman" w:hAnsi="Times New Roman" w:cs="Times New Roman"/>
          <w:color w:val="000000"/>
          <w:sz w:val="24"/>
          <w:szCs w:val="24"/>
          <w:lang w:eastAsia="pl-PL"/>
        </w:rPr>
        <w:t>audiodeskrypcji</w:t>
      </w:r>
      <w:proofErr w:type="spellEnd"/>
      <w:r w:rsidRPr="00DA37C1">
        <w:rPr>
          <w:rFonts w:ascii="Times New Roman" w:eastAsia="Times New Roman" w:hAnsi="Times New Roman" w:cs="Times New Roman"/>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w:t>
      </w:r>
      <w:r w:rsidR="00EA56B2">
        <w:rPr>
          <w:rFonts w:ascii="Times New Roman" w:eastAsia="Times New Roman" w:hAnsi="Times New Roman" w:cs="Times New Roman"/>
          <w:color w:val="000000"/>
          <w:sz w:val="24"/>
          <w:szCs w:val="24"/>
          <w:lang w:eastAsia="pl-PL"/>
        </w:rPr>
        <w:t> </w:t>
      </w:r>
      <w:r w:rsidRPr="00DA37C1">
        <w:rPr>
          <w:rFonts w:ascii="Times New Roman" w:eastAsia="Times New Roman" w:hAnsi="Times New Roman" w:cs="Times New Roman"/>
          <w:color w:val="000000"/>
          <w:sz w:val="24"/>
          <w:szCs w:val="24"/>
          <w:lang w:eastAsia="pl-PL"/>
        </w:rPr>
        <w:t>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DA37C1" w:rsidRPr="00DA37C1" w:rsidRDefault="00DA37C1" w:rsidP="00DA37C1">
      <w:pPr>
        <w:shd w:val="clear" w:color="auto" w:fill="FFFFFF"/>
        <w:spacing w:after="24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000000"/>
          <w:sz w:val="24"/>
          <w:szCs w:val="24"/>
          <w:lang w:eastAsia="pl-PL"/>
        </w:rPr>
        <w:lastRenderedPageBreak/>
        <w:t>Link do strony internetowej </w:t>
      </w:r>
      <w:hyperlink r:id="rId6" w:tgtFrame="_blank" w:history="1">
        <w:r w:rsidRPr="00DA37C1">
          <w:rPr>
            <w:rFonts w:ascii="Times New Roman" w:eastAsia="Times New Roman" w:hAnsi="Times New Roman" w:cs="Times New Roman"/>
            <w:color w:val="0066CC"/>
            <w:sz w:val="24"/>
            <w:szCs w:val="24"/>
            <w:u w:val="single"/>
            <w:lang w:eastAsia="pl-PL"/>
          </w:rPr>
          <w:t>Rzecznika Praw Obywatelskich</w:t>
        </w:r>
      </w:hyperlink>
      <w:r w:rsidRPr="00DA37C1">
        <w:rPr>
          <w:rFonts w:ascii="Times New Roman" w:eastAsia="Times New Roman" w:hAnsi="Times New Roman" w:cs="Times New Roman"/>
          <w:color w:val="000000"/>
          <w:sz w:val="24"/>
          <w:szCs w:val="24"/>
          <w:lang w:eastAsia="pl-PL"/>
        </w:rPr>
        <w:t>.</w:t>
      </w:r>
    </w:p>
    <w:p w:rsidR="00DA37C1" w:rsidRPr="00DA37C1" w:rsidRDefault="00DA37C1" w:rsidP="00DA37C1">
      <w:pPr>
        <w:shd w:val="clear" w:color="auto" w:fill="FFFFFF"/>
        <w:spacing w:after="120" w:line="240" w:lineRule="auto"/>
        <w:jc w:val="both"/>
        <w:outlineLvl w:val="2"/>
        <w:rPr>
          <w:rFonts w:ascii="Times New Roman" w:eastAsia="Times New Roman" w:hAnsi="Times New Roman" w:cs="Times New Roman"/>
          <w:b/>
          <w:bCs/>
          <w:caps/>
          <w:color w:val="333333"/>
          <w:sz w:val="26"/>
          <w:szCs w:val="26"/>
          <w:lang w:eastAsia="pl-PL"/>
        </w:rPr>
      </w:pPr>
      <w:r w:rsidRPr="00DA37C1">
        <w:rPr>
          <w:rFonts w:ascii="Times New Roman" w:eastAsia="Times New Roman" w:hAnsi="Times New Roman" w:cs="Times New Roman"/>
          <w:b/>
          <w:bCs/>
          <w:color w:val="3498DB"/>
          <w:sz w:val="27"/>
          <w:szCs w:val="27"/>
          <w:lang w:eastAsia="pl-PL"/>
        </w:rPr>
        <w:t>Dostępność architektoniczna</w:t>
      </w:r>
    </w:p>
    <w:p w:rsidR="00DA37C1" w:rsidRPr="00DA37C1" w:rsidRDefault="00DA37C1" w:rsidP="0081219B">
      <w:pPr>
        <w:numPr>
          <w:ilvl w:val="0"/>
          <w:numId w:val="3"/>
        </w:numPr>
        <w:shd w:val="clear" w:color="auto" w:fill="FFFFFF"/>
        <w:spacing w:after="20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b/>
          <w:bCs/>
          <w:color w:val="3498DB"/>
          <w:sz w:val="24"/>
          <w:szCs w:val="24"/>
          <w:lang w:eastAsia="pl-PL"/>
        </w:rPr>
        <w:t>Opis dostępności wejścia do budynku i przechodzenie przez obszar kontroli.</w:t>
      </w:r>
    </w:p>
    <w:p w:rsidR="00DA37C1" w:rsidRPr="00DA37C1" w:rsidRDefault="00DA37C1" w:rsidP="00DA37C1">
      <w:pPr>
        <w:shd w:val="clear" w:color="auto" w:fill="FFFFFF"/>
        <w:spacing w:after="200" w:line="240" w:lineRule="auto"/>
        <w:ind w:left="72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 xml:space="preserve">Do budynku poradni prowadzi główne wejście ze schodami. Poradnia mieści się na II piętrze. Nie posiada podjazdu dla osób niepełnosprawnych. Dojście do osób niepełnosprawnych zapewnione jest poprzez zamontowaną windę. Wejście do poradni jest ogólnodostępne w godzinach pracy placówki. Osobami oddelegowanymi do udzielania informacji przy wejściu głównym są pracownicy obsługi. W placówce znajduje się również wyjście ewakuacyjne. Przed wejściem do budynku znajduje się ogólnodostępny parking z wyznaczonymi miejscami dla osób </w:t>
      </w:r>
      <w:proofErr w:type="spellStart"/>
      <w:r w:rsidRPr="00DA37C1">
        <w:rPr>
          <w:rFonts w:ascii="Times New Roman" w:hAnsi="Times New Roman" w:cs="Times New Roman"/>
          <w:color w:val="4C4B4B"/>
          <w:shd w:val="clear" w:color="auto" w:fill="F9F8F8"/>
        </w:rPr>
        <w:t>niepełnosprawnych.</w:t>
      </w:r>
    </w:p>
    <w:p w:rsidR="00DA37C1" w:rsidRPr="00DA37C1" w:rsidRDefault="00DA37C1" w:rsidP="004F0F66">
      <w:pPr>
        <w:numPr>
          <w:ilvl w:val="0"/>
          <w:numId w:val="3"/>
        </w:numPr>
        <w:shd w:val="clear" w:color="auto" w:fill="FFFFFF"/>
        <w:spacing w:after="20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b/>
          <w:bCs/>
          <w:color w:val="3498DB"/>
          <w:sz w:val="24"/>
          <w:szCs w:val="24"/>
          <w:lang w:eastAsia="pl-PL"/>
        </w:rPr>
        <w:t>Opi</w:t>
      </w:r>
      <w:proofErr w:type="spellEnd"/>
      <w:r w:rsidRPr="00DA37C1">
        <w:rPr>
          <w:rFonts w:ascii="Times New Roman" w:eastAsia="Times New Roman" w:hAnsi="Times New Roman" w:cs="Times New Roman"/>
          <w:b/>
          <w:bCs/>
          <w:color w:val="3498DB"/>
          <w:sz w:val="24"/>
          <w:szCs w:val="24"/>
          <w:lang w:eastAsia="pl-PL"/>
        </w:rPr>
        <w:t>s dostępności korytarzy, schodów i wind.</w:t>
      </w:r>
    </w:p>
    <w:p w:rsidR="00DA37C1" w:rsidRPr="00DA37C1" w:rsidRDefault="00DA37C1" w:rsidP="00DA37C1">
      <w:pPr>
        <w:shd w:val="clear" w:color="auto" w:fill="FFFFFF"/>
        <w:spacing w:after="200" w:line="240" w:lineRule="auto"/>
        <w:ind w:left="72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 xml:space="preserve">W poradni znajduje się jeden korytarz główny, stanowiący jednocześnie poczekalnię dla klientów. Klatka schodowa umieszczona jest na początku korytarza. Budynek posiada jedną windę dostosowaną dla osób </w:t>
      </w:r>
      <w:proofErr w:type="spellStart"/>
      <w:r w:rsidRPr="00DA37C1">
        <w:rPr>
          <w:rFonts w:ascii="Times New Roman" w:hAnsi="Times New Roman" w:cs="Times New Roman"/>
          <w:color w:val="4C4B4B"/>
          <w:shd w:val="clear" w:color="auto" w:fill="F9F8F8"/>
        </w:rPr>
        <w:t>niepełnosprawnych.</w:t>
      </w:r>
    </w:p>
    <w:p w:rsidR="00DA37C1" w:rsidRPr="00DA37C1" w:rsidRDefault="00DA37C1" w:rsidP="004F0F66">
      <w:pPr>
        <w:numPr>
          <w:ilvl w:val="0"/>
          <w:numId w:val="3"/>
        </w:numPr>
        <w:shd w:val="clear" w:color="auto" w:fill="FFFFFF"/>
        <w:spacing w:after="200" w:line="240" w:lineRule="auto"/>
        <w:jc w:val="both"/>
        <w:rPr>
          <w:rFonts w:ascii="Times New Roman" w:hAnsi="Times New Roman" w:cs="Times New Roman"/>
          <w:color w:val="4C4B4B"/>
          <w:shd w:val="clear" w:color="auto" w:fill="F9F8F8"/>
        </w:rPr>
      </w:pPr>
      <w:r w:rsidRPr="00DA37C1">
        <w:rPr>
          <w:rFonts w:ascii="Times New Roman" w:eastAsia="Times New Roman" w:hAnsi="Times New Roman" w:cs="Times New Roman"/>
          <w:b/>
          <w:bCs/>
          <w:color w:val="3498DB"/>
          <w:sz w:val="24"/>
          <w:szCs w:val="24"/>
          <w:lang w:eastAsia="pl-PL"/>
        </w:rPr>
        <w:t>Opi</w:t>
      </w:r>
      <w:proofErr w:type="spellEnd"/>
      <w:r w:rsidRPr="00DA37C1">
        <w:rPr>
          <w:rFonts w:ascii="Times New Roman" w:eastAsia="Times New Roman" w:hAnsi="Times New Roman" w:cs="Times New Roman"/>
          <w:b/>
          <w:bCs/>
          <w:color w:val="3498DB"/>
          <w:sz w:val="24"/>
          <w:szCs w:val="24"/>
          <w:lang w:eastAsia="pl-PL"/>
        </w:rPr>
        <w:t>s dostosowań, na przykład pochylni, platform, informacji głosowych, pętlach indukcyjnych</w:t>
      </w:r>
    </w:p>
    <w:p w:rsidR="00DA37C1" w:rsidRPr="00DA37C1" w:rsidRDefault="00DA37C1" w:rsidP="00DA37C1">
      <w:pPr>
        <w:shd w:val="clear" w:color="auto" w:fill="FFFFFF"/>
        <w:spacing w:after="200" w:line="240" w:lineRule="auto"/>
        <w:ind w:left="720"/>
        <w:jc w:val="both"/>
        <w:rPr>
          <w:rFonts w:ascii="Times New Roman" w:hAnsi="Times New Roman" w:cs="Times New Roman"/>
          <w:color w:val="4C4B4B"/>
          <w:shd w:val="clear" w:color="auto" w:fill="F9F8F8"/>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W budynku poradni  nie ma zamontowanych platform, informacji głosowych, pętli indukcyjnych. </w:t>
      </w:r>
    </w:p>
    <w:p w:rsidR="00EA56B2" w:rsidRPr="00EA56B2" w:rsidRDefault="00DA37C1" w:rsidP="00600C6D">
      <w:pPr>
        <w:numPr>
          <w:ilvl w:val="0"/>
          <w:numId w:val="3"/>
        </w:numPr>
        <w:shd w:val="clear" w:color="auto" w:fill="FFFFFF"/>
        <w:spacing w:after="200" w:line="240" w:lineRule="auto"/>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b/>
          <w:bCs/>
          <w:color w:val="3498DB"/>
          <w:sz w:val="24"/>
          <w:szCs w:val="24"/>
          <w:lang w:eastAsia="pl-PL"/>
        </w:rPr>
        <w:t>Informacje o miejscu i sposobie korzystania z miejsc parkingowych wyznaczonych dla osób niepełnosprawnych</w:t>
      </w:r>
    </w:p>
    <w:p w:rsidR="00DA37C1" w:rsidRPr="00DA37C1" w:rsidRDefault="00DA37C1" w:rsidP="00EA56B2">
      <w:pPr>
        <w:shd w:val="clear" w:color="auto" w:fill="FFFFFF"/>
        <w:spacing w:after="200" w:line="240" w:lineRule="auto"/>
        <w:ind w:left="720"/>
        <w:jc w:val="both"/>
        <w:rPr>
          <w:rFonts w:ascii="Times New Roman" w:eastAsia="Times New Roman" w:hAnsi="Times New Roman" w:cs="Times New Roman"/>
          <w:color w:val="625D5D"/>
          <w:sz w:val="20"/>
          <w:szCs w:val="20"/>
          <w:lang w:eastAsia="pl-PL"/>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 xml:space="preserve">Parking znajduje się bezpośrednio pod poradnią, posiada wyznaczone miejsca dla osób </w:t>
      </w:r>
      <w:proofErr w:type="spellStart"/>
      <w:r w:rsidRPr="00DA37C1">
        <w:rPr>
          <w:rFonts w:ascii="Times New Roman" w:hAnsi="Times New Roman" w:cs="Times New Roman"/>
          <w:color w:val="4C4B4B"/>
          <w:shd w:val="clear" w:color="auto" w:fill="F9F8F8"/>
        </w:rPr>
        <w:t>niepełnosprawnych.</w:t>
      </w:r>
    </w:p>
    <w:p w:rsidR="00EA56B2" w:rsidRPr="00EA56B2" w:rsidRDefault="00DA37C1" w:rsidP="00600C6D">
      <w:pPr>
        <w:numPr>
          <w:ilvl w:val="0"/>
          <w:numId w:val="3"/>
        </w:numPr>
        <w:shd w:val="clear" w:color="auto" w:fill="FFFFFF"/>
        <w:spacing w:after="200" w:line="240" w:lineRule="auto"/>
        <w:jc w:val="both"/>
        <w:rPr>
          <w:rFonts w:ascii="Times New Roman" w:hAnsi="Times New Roman" w:cs="Times New Roman"/>
          <w:color w:val="4C4B4B"/>
          <w:shd w:val="clear" w:color="auto" w:fill="F9F8F8"/>
        </w:rPr>
      </w:pPr>
      <w:r w:rsidRPr="00DA37C1">
        <w:rPr>
          <w:rFonts w:ascii="Times New Roman" w:eastAsia="Times New Roman" w:hAnsi="Times New Roman" w:cs="Times New Roman"/>
          <w:b/>
          <w:bCs/>
          <w:color w:val="3498DB"/>
          <w:sz w:val="24"/>
          <w:szCs w:val="24"/>
          <w:lang w:eastAsia="pl-PL"/>
        </w:rPr>
        <w:t>Informacj</w:t>
      </w:r>
      <w:proofErr w:type="spellEnd"/>
      <w:r w:rsidRPr="00DA37C1">
        <w:rPr>
          <w:rFonts w:ascii="Times New Roman" w:eastAsia="Times New Roman" w:hAnsi="Times New Roman" w:cs="Times New Roman"/>
          <w:b/>
          <w:bCs/>
          <w:color w:val="3498DB"/>
          <w:sz w:val="24"/>
          <w:szCs w:val="24"/>
          <w:lang w:eastAsia="pl-PL"/>
        </w:rPr>
        <w:t>a o prawie wstępu z psem asystującym i ewentualnych uzasadnionych ograniczeniach</w:t>
      </w:r>
    </w:p>
    <w:p w:rsidR="00DA37C1" w:rsidRPr="00DA37C1" w:rsidRDefault="00DA37C1" w:rsidP="00EA56B2">
      <w:pPr>
        <w:shd w:val="clear" w:color="auto" w:fill="FFFFFF"/>
        <w:spacing w:after="200" w:line="240" w:lineRule="auto"/>
        <w:ind w:left="720"/>
        <w:jc w:val="both"/>
        <w:rPr>
          <w:rFonts w:ascii="Times New Roman" w:hAnsi="Times New Roman" w:cs="Times New Roman"/>
          <w:color w:val="4C4B4B"/>
          <w:shd w:val="clear" w:color="auto" w:fill="F9F8F8"/>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Do szkoły może wejść osoba z psem asystującym.</w:t>
      </w:r>
    </w:p>
    <w:p w:rsidR="00EA56B2" w:rsidRPr="00EA56B2" w:rsidRDefault="00DA37C1" w:rsidP="005B2B25">
      <w:pPr>
        <w:numPr>
          <w:ilvl w:val="0"/>
          <w:numId w:val="3"/>
        </w:numPr>
        <w:shd w:val="clear" w:color="auto" w:fill="FFFFFF"/>
        <w:spacing w:after="200" w:line="240" w:lineRule="auto"/>
        <w:jc w:val="both"/>
        <w:rPr>
          <w:rFonts w:ascii="Times New Roman" w:hAnsi="Times New Roman" w:cs="Times New Roman"/>
          <w:color w:val="4C4B4B"/>
          <w:shd w:val="clear" w:color="auto" w:fill="F9F8F8"/>
        </w:rPr>
      </w:pPr>
      <w:r w:rsidRPr="00DA37C1">
        <w:rPr>
          <w:rFonts w:ascii="Times New Roman" w:eastAsia="Times New Roman" w:hAnsi="Times New Roman" w:cs="Times New Roman"/>
          <w:b/>
          <w:bCs/>
          <w:color w:val="3498DB"/>
          <w:sz w:val="24"/>
          <w:szCs w:val="24"/>
          <w:lang w:eastAsia="pl-PL"/>
        </w:rPr>
        <w:t>Informacja o możliwości skorzystania z tłumacza   języka migowego na miejscu   lub online.  W przypadku braku takiej możliwości, taką informacją należy zawrzeć.</w:t>
      </w:r>
    </w:p>
    <w:p w:rsidR="00323992" w:rsidRPr="00DA37C1" w:rsidRDefault="00DA37C1" w:rsidP="00EA56B2">
      <w:pPr>
        <w:shd w:val="clear" w:color="auto" w:fill="FFFFFF"/>
        <w:spacing w:after="200" w:line="240" w:lineRule="auto"/>
        <w:ind w:left="720"/>
        <w:jc w:val="both"/>
        <w:rPr>
          <w:rFonts w:ascii="Times New Roman" w:hAnsi="Times New Roman" w:cs="Times New Roman"/>
          <w:color w:val="4C4B4B"/>
          <w:shd w:val="clear" w:color="auto" w:fill="F9F8F8"/>
        </w:rPr>
      </w:pPr>
      <w:r w:rsidRPr="00DA37C1">
        <w:rPr>
          <w:rFonts w:ascii="Times New Roman" w:eastAsia="Times New Roman" w:hAnsi="Times New Roman" w:cs="Times New Roman"/>
          <w:color w:val="625D5D"/>
          <w:sz w:val="24"/>
          <w:szCs w:val="24"/>
          <w:lang w:eastAsia="pl-PL"/>
        </w:rPr>
        <w:br/>
      </w:r>
      <w:r w:rsidRPr="00DA37C1">
        <w:rPr>
          <w:rFonts w:ascii="Times New Roman" w:hAnsi="Times New Roman" w:cs="Times New Roman"/>
          <w:color w:val="4C4B4B"/>
          <w:shd w:val="clear" w:color="auto" w:fill="F9F8F8"/>
        </w:rPr>
        <w:t xml:space="preserve">Na terenie poradni  nie ma możliwości skorzystania z tłumacza języka migowego. </w:t>
      </w:r>
      <w:r w:rsidRPr="00DA37C1">
        <w:rPr>
          <w:rFonts w:ascii="Times New Roman" w:hAnsi="Times New Roman" w:cs="Times New Roman"/>
          <w:color w:val="4C4B4B"/>
          <w:shd w:val="clear" w:color="auto" w:fill="F9F8F8"/>
        </w:rPr>
        <w:t xml:space="preserve">Wybrani pracownicy poradni posiadają </w:t>
      </w:r>
      <w:r w:rsidRPr="00DA37C1">
        <w:rPr>
          <w:rFonts w:ascii="Times New Roman" w:hAnsi="Times New Roman" w:cs="Times New Roman"/>
          <w:color w:val="4C4B4B"/>
          <w:shd w:val="clear" w:color="auto" w:fill="F9F8F8"/>
        </w:rPr>
        <w:t xml:space="preserve">natomiast </w:t>
      </w:r>
      <w:r w:rsidRPr="00DA37C1">
        <w:rPr>
          <w:rFonts w:ascii="Times New Roman" w:hAnsi="Times New Roman" w:cs="Times New Roman"/>
          <w:color w:val="4C4B4B"/>
          <w:shd w:val="clear" w:color="auto" w:fill="F9F8F8"/>
        </w:rPr>
        <w:t>pełne przeszkolenie w zakresie pracy z osobami z</w:t>
      </w:r>
      <w:r w:rsidR="00EA56B2">
        <w:rPr>
          <w:rFonts w:ascii="Times New Roman" w:hAnsi="Times New Roman" w:cs="Times New Roman"/>
          <w:color w:val="4C4B4B"/>
          <w:shd w:val="clear" w:color="auto" w:fill="F9F8F8"/>
        </w:rPr>
        <w:t> </w:t>
      </w:r>
      <w:r w:rsidRPr="00DA37C1">
        <w:rPr>
          <w:rFonts w:ascii="Times New Roman" w:hAnsi="Times New Roman" w:cs="Times New Roman"/>
          <w:color w:val="4C4B4B"/>
          <w:shd w:val="clear" w:color="auto" w:fill="F9F8F8"/>
        </w:rPr>
        <w:t>dysfunkcją wzroku (</w:t>
      </w:r>
      <w:proofErr w:type="spellStart"/>
      <w:r w:rsidRPr="00DA37C1">
        <w:rPr>
          <w:rFonts w:ascii="Times New Roman" w:hAnsi="Times New Roman" w:cs="Times New Roman"/>
          <w:color w:val="4C4B4B"/>
          <w:shd w:val="clear" w:color="auto" w:fill="F9F8F8"/>
        </w:rPr>
        <w:t>tyflopedagodzy</w:t>
      </w:r>
      <w:proofErr w:type="spellEnd"/>
      <w:r w:rsidRPr="00DA37C1">
        <w:rPr>
          <w:rFonts w:ascii="Times New Roman" w:hAnsi="Times New Roman" w:cs="Times New Roman"/>
          <w:color w:val="4C4B4B"/>
          <w:shd w:val="clear" w:color="auto" w:fill="F9F8F8"/>
        </w:rPr>
        <w:t>) oraz dysfunkcją słuchu (</w:t>
      </w:r>
      <w:proofErr w:type="spellStart"/>
      <w:r w:rsidRPr="00DA37C1">
        <w:rPr>
          <w:rFonts w:ascii="Times New Roman" w:hAnsi="Times New Roman" w:cs="Times New Roman"/>
          <w:color w:val="4C4B4B"/>
          <w:shd w:val="clear" w:color="auto" w:fill="F9F8F8"/>
        </w:rPr>
        <w:t>surdopedagodzy</w:t>
      </w:r>
      <w:proofErr w:type="spellEnd"/>
      <w:r w:rsidRPr="00DA37C1">
        <w:rPr>
          <w:rFonts w:ascii="Times New Roman" w:hAnsi="Times New Roman" w:cs="Times New Roman"/>
          <w:color w:val="4C4B4B"/>
          <w:shd w:val="clear" w:color="auto" w:fill="F9F8F8"/>
        </w:rPr>
        <w:t>). </w:t>
      </w:r>
    </w:p>
    <w:sectPr w:rsidR="00323992" w:rsidRPr="00DA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7DB"/>
    <w:multiLevelType w:val="multilevel"/>
    <w:tmpl w:val="0F7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D206A"/>
    <w:multiLevelType w:val="multilevel"/>
    <w:tmpl w:val="95F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901E2"/>
    <w:multiLevelType w:val="multilevel"/>
    <w:tmpl w:val="CF7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1"/>
    <w:rsid w:val="00323992"/>
    <w:rsid w:val="00DA37C1"/>
    <w:rsid w:val="00EA5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F565"/>
  <w15:chartTrackingRefBased/>
  <w15:docId w15:val="{5FEB240E-98FF-4167-B68F-FA58545E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DA37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A37C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A37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A37C1"/>
    <w:rPr>
      <w:color w:val="0000FF"/>
      <w:u w:val="single"/>
    </w:rPr>
  </w:style>
  <w:style w:type="character" w:styleId="Pogrubienie">
    <w:name w:val="Strong"/>
    <w:basedOn w:val="Domylnaczcionkaakapitu"/>
    <w:uiPriority w:val="22"/>
    <w:qFormat/>
    <w:rsid w:val="00DA37C1"/>
    <w:rPr>
      <w:b/>
      <w:bCs/>
    </w:rPr>
  </w:style>
  <w:style w:type="character" w:styleId="Nierozpoznanawzmianka">
    <w:name w:val="Unresolved Mention"/>
    <w:basedOn w:val="Domylnaczcionkaakapitu"/>
    <w:uiPriority w:val="99"/>
    <w:semiHidden/>
    <w:unhideWhenUsed/>
    <w:rsid w:val="00DA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www.poradniak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4385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dc:creator>
  <cp:keywords/>
  <dc:description/>
  <cp:lastModifiedBy>psycholog</cp:lastModifiedBy>
  <cp:revision>1</cp:revision>
  <dcterms:created xsi:type="dcterms:W3CDTF">2020-10-08T08:08:00Z</dcterms:created>
  <dcterms:modified xsi:type="dcterms:W3CDTF">2020-10-08T08:19:00Z</dcterms:modified>
</cp:coreProperties>
</file>